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19BA" w14:textId="77777777" w:rsidR="00CC2F73" w:rsidRPr="00F65F6D" w:rsidRDefault="000810CC" w:rsidP="00CC2F73">
      <w:pPr>
        <w:rPr>
          <w:rFonts w:ascii="Arial Narrow" w:hAnsi="Arial Narrow" w:cs="Arial Narrow"/>
          <w:sz w:val="24"/>
          <w:szCs w:val="24"/>
        </w:rPr>
      </w:pPr>
      <w:r w:rsidRPr="00F65F6D">
        <w:rPr>
          <w:rFonts w:ascii="Arial Narrow" w:hAnsi="Arial Narrow" w:cs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7507C" wp14:editId="10477B38">
                <wp:simplePos x="0" y="0"/>
                <wp:positionH relativeFrom="column">
                  <wp:posOffset>-66040</wp:posOffset>
                </wp:positionH>
                <wp:positionV relativeFrom="paragraph">
                  <wp:posOffset>285750</wp:posOffset>
                </wp:positionV>
                <wp:extent cx="5867400" cy="836295"/>
                <wp:effectExtent l="0" t="0" r="19050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E245" w14:textId="77777777" w:rsidR="00493938" w:rsidRDefault="00177CDE" w:rsidP="00177C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HARMONOGRAM SZKOLENIA                                                                                                                                     </w:t>
                            </w:r>
                            <w:r w:rsidRPr="00FA3BFB">
                              <w:rPr>
                                <w:rFonts w:ascii="Arial Narrow" w:hAnsi="Arial Narrow"/>
                                <w:b/>
                              </w:rPr>
                              <w:t xml:space="preserve"> „</w:t>
                            </w:r>
                            <w:r w:rsidR="005468CC">
                              <w:rPr>
                                <w:rFonts w:ascii="Arial Narrow" w:hAnsi="Arial Narrow"/>
                                <w:b/>
                              </w:rPr>
                              <w:t>Prawne aspekty przeciwdziałania przemocy w rodzinie</w:t>
                            </w:r>
                            <w:r w:rsidRPr="00FA3BFB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    </w:t>
                            </w:r>
                          </w:p>
                          <w:p w14:paraId="4B9364C1" w14:textId="7E6FDDD1" w:rsidR="00177CDE" w:rsidRDefault="00C21EE2" w:rsidP="00177C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Słubice, 15 – 17 września </w:t>
                            </w:r>
                            <w:r w:rsidR="00177CDE">
                              <w:rPr>
                                <w:rFonts w:ascii="Arial Narrow" w:hAnsi="Arial Narrow"/>
                                <w:b/>
                              </w:rPr>
                              <w:t xml:space="preserve"> 2021 r.</w:t>
                            </w:r>
                          </w:p>
                          <w:p w14:paraId="708D2B55" w14:textId="77777777" w:rsidR="00EE1547" w:rsidRPr="00B62A2F" w:rsidRDefault="00EE1547" w:rsidP="00EE15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50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pt;margin-top:22.5pt;width:462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RuKgIAAFAEAAAOAAAAZHJzL2Uyb0RvYy54bWysVNtu2zAMfR+wfxD0vthJkzQx4hRdugwD&#10;ugvQ7gNkWbaFSaImKbG7rx8lp1l2exnmB4EUqUPykPTmZtCKHIXzEkxJp5OcEmE41NK0Jf38uH+1&#10;osQHZmqmwIiSPglPb7YvX2x6W4gZdKBq4QiCGF/0tqRdCLbIMs87oZmfgBUGjQ04zQKqrs1qx3pE&#10;1yqb5fky68HV1gEX3uPt3Wik24TfNIKHj03jRSCqpJhbSKdLZxXPbLthReuY7SQ/pcH+IQvNpMGg&#10;Z6g7Fhg5OPkblJbcgYcmTDjoDJpGcpFqwGqm+S/VPHTMilQLkuPtmSb//2D5h+MnR2Rd0itKDNPY&#10;okcxBPIaBjKP7PTWF+j0YNEtDHiNXU6VensP/IsnBnYdM624dQ76TrAas5vGl9nF0xHHR5Cqfw81&#10;hmGHAAloaJyO1CEZBNGxS0/nzsRUOF4uVsvreY4mjrbV1XK2XqQQrHh+bZ0PbwVoEoWSOux8QmfH&#10;ex9iNqx4donBPChZ76VSSXFttVOOHBlOyT59J/Sf3JQhfUnXi9liJOCvEHn6/gShZcBxV1JjFWcn&#10;VkTa3pg6DWNgUo0ypqzMicdI3UhiGKrh1JcK6idk1ME41riGKHTgvlHS40iX1H89MCcoUe8MdmU9&#10;nc/jDiRlvrieoeIuLdWlhRmOUCUNlIziLox7c7BOth1GGufAwC12spGJ5NjyMatT3ji2ifvTisW9&#10;uNST148fwfY7AAAA//8DAFBLAwQUAAYACAAAACEAqiJh8+AAAAAKAQAADwAAAGRycy9kb3ducmV2&#10;LnhtbEyPy07DMBBF90j8gzVIbFDrhIakDXEqhASiO2gr2LrxNInwI9huGv6eYQXL0Rzde261noxm&#10;I/rQOysgnSfA0DZO9bYVsN89zZbAQpRWSe0sCvjGAOv68qKSpXJn+4bjNraMQmwopYAuxqHkPDQd&#10;GhnmbkBLv6PzRkY6fcuVl2cKN5rfJknOjewtNXRywMcOm8/tyQhYZi/jR9gsXt+b/KhX8aYYn7+8&#10;ENdX08M9sIhT/IPhV5/UoSangztZFZgWMEuTjFAB2R1tImCVLnJgByKLvABeV/z/hPoHAAD//wMA&#10;UEsBAi0AFAAGAAgAAAAhALaDOJL+AAAA4QEAABMAAAAAAAAAAAAAAAAAAAAAAFtDb250ZW50X1R5&#10;cGVzXS54bWxQSwECLQAUAAYACAAAACEAOP0h/9YAAACUAQAACwAAAAAAAAAAAAAAAAAvAQAAX3Jl&#10;bHMvLnJlbHNQSwECLQAUAAYACAAAACEAPXIEbioCAABQBAAADgAAAAAAAAAAAAAAAAAuAgAAZHJz&#10;L2Uyb0RvYy54bWxQSwECLQAUAAYACAAAACEAqiJh8+AAAAAKAQAADwAAAAAAAAAAAAAAAACEBAAA&#10;ZHJzL2Rvd25yZXYueG1sUEsFBgAAAAAEAAQA8wAAAJEFAAAAAA==&#10;">
                <v:textbox>
                  <w:txbxContent>
                    <w:p w14:paraId="6336E245" w14:textId="77777777" w:rsidR="00493938" w:rsidRDefault="00177CDE" w:rsidP="00177CD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HARMONOGRAM SZKOLENIA                                                                                                                                     </w:t>
                      </w:r>
                      <w:r w:rsidRPr="00FA3BFB">
                        <w:rPr>
                          <w:rFonts w:ascii="Arial Narrow" w:hAnsi="Arial Narrow"/>
                          <w:b/>
                        </w:rPr>
                        <w:t xml:space="preserve"> „</w:t>
                      </w:r>
                      <w:r w:rsidR="005468CC">
                        <w:rPr>
                          <w:rFonts w:ascii="Arial Narrow" w:hAnsi="Arial Narrow"/>
                          <w:b/>
                        </w:rPr>
                        <w:t>Prawne aspekty przeciwdziałania przemocy w rodzinie</w:t>
                      </w:r>
                      <w:r w:rsidRPr="00FA3BFB">
                        <w:rPr>
                          <w:rFonts w:ascii="Arial Narrow" w:hAnsi="Arial Narrow"/>
                          <w:b/>
                        </w:rPr>
                        <w:t>”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     </w:t>
                      </w:r>
                    </w:p>
                    <w:p w14:paraId="4B9364C1" w14:textId="7E6FDDD1" w:rsidR="00177CDE" w:rsidRDefault="00C21EE2" w:rsidP="00177CD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Słubice, 15 – 17 września </w:t>
                      </w:r>
                      <w:r w:rsidR="00177CDE">
                        <w:rPr>
                          <w:rFonts w:ascii="Arial Narrow" w:hAnsi="Arial Narrow"/>
                          <w:b/>
                        </w:rPr>
                        <w:t xml:space="preserve"> 2021 r.</w:t>
                      </w:r>
                    </w:p>
                    <w:p w14:paraId="708D2B55" w14:textId="77777777" w:rsidR="00EE1547" w:rsidRPr="00B62A2F" w:rsidRDefault="00EE1547" w:rsidP="00EE15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3D95A" w14:textId="77777777" w:rsidR="00EE1547" w:rsidRPr="00F65F6D" w:rsidRDefault="00EE1547" w:rsidP="00CC2F73">
      <w:pPr>
        <w:rPr>
          <w:rFonts w:ascii="Arial Narrow" w:hAnsi="Arial Narrow" w:cs="Arial Narrow"/>
          <w:sz w:val="24"/>
          <w:szCs w:val="24"/>
        </w:rPr>
      </w:pPr>
    </w:p>
    <w:p w14:paraId="0FC610F0" w14:textId="77777777" w:rsidR="00EE1547" w:rsidRPr="00F65F6D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3C84865A" w14:textId="77777777" w:rsidR="00EE1547" w:rsidRPr="00F65F6D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43230941" w14:textId="77777777" w:rsidR="00EE1547" w:rsidRPr="00F65F6D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EE1547" w:rsidRPr="00F65F6D" w14:paraId="7A1A170C" w14:textId="77777777" w:rsidTr="002D7B0D">
        <w:tc>
          <w:tcPr>
            <w:tcW w:w="9212" w:type="dxa"/>
            <w:gridSpan w:val="3"/>
          </w:tcPr>
          <w:p w14:paraId="3226E54C" w14:textId="77777777" w:rsidR="00EE1547" w:rsidRPr="00F65F6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5F6D">
              <w:rPr>
                <w:rFonts w:ascii="Arial Narrow" w:hAnsi="Arial Narrow" w:cs="Arial"/>
                <w:b/>
                <w:sz w:val="28"/>
                <w:szCs w:val="28"/>
              </w:rPr>
              <w:t>Szkolenie 3-dniowe</w:t>
            </w:r>
          </w:p>
          <w:p w14:paraId="1937508E" w14:textId="77777777" w:rsidR="007413ED" w:rsidRPr="00F65F6D" w:rsidRDefault="007413ED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E1547" w:rsidRPr="00F65F6D" w14:paraId="7F3BD318" w14:textId="77777777" w:rsidTr="000266E7">
        <w:tc>
          <w:tcPr>
            <w:tcW w:w="9212" w:type="dxa"/>
            <w:gridSpan w:val="3"/>
            <w:shd w:val="clear" w:color="auto" w:fill="C2D69B" w:themeFill="accent3" w:themeFillTint="99"/>
          </w:tcPr>
          <w:p w14:paraId="55F321CB" w14:textId="77777777" w:rsidR="007413ED" w:rsidRPr="00F65F6D" w:rsidRDefault="00EE1547" w:rsidP="00741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5F6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6B643B17" w14:textId="77777777" w:rsidR="007413ED" w:rsidRPr="00F65F6D" w:rsidRDefault="007413ED" w:rsidP="00741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E1547" w:rsidRPr="00F65F6D" w14:paraId="3B185864" w14:textId="77777777" w:rsidTr="0062367A">
        <w:tc>
          <w:tcPr>
            <w:tcW w:w="1101" w:type="dxa"/>
          </w:tcPr>
          <w:p w14:paraId="351E35BB" w14:textId="77777777" w:rsidR="00EE1547" w:rsidRPr="00F65F6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</w:tcPr>
          <w:p w14:paraId="63002411" w14:textId="77777777" w:rsidR="00EE1547" w:rsidRPr="00F65F6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Zakres merytoryczny</w:t>
            </w:r>
          </w:p>
          <w:p w14:paraId="177497EA" w14:textId="77777777" w:rsidR="007413ED" w:rsidRPr="00F65F6D" w:rsidRDefault="007413ED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6EF4A985" w14:textId="77777777" w:rsidR="00EE1547" w:rsidRPr="00F65F6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EE1547" w:rsidRPr="00F65F6D" w14:paraId="5B93F00D" w14:textId="77777777" w:rsidTr="000266E7">
        <w:tc>
          <w:tcPr>
            <w:tcW w:w="1101" w:type="dxa"/>
            <w:shd w:val="clear" w:color="auto" w:fill="EEECE1" w:themeFill="background2"/>
          </w:tcPr>
          <w:p w14:paraId="3003BE95" w14:textId="77777777" w:rsidR="00EE1547" w:rsidRPr="00F65F6D" w:rsidRDefault="00177CDE" w:rsidP="00EE1547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9.45-10.00</w:t>
            </w:r>
          </w:p>
        </w:tc>
        <w:tc>
          <w:tcPr>
            <w:tcW w:w="6662" w:type="dxa"/>
            <w:shd w:val="clear" w:color="auto" w:fill="EEECE1" w:themeFill="background2"/>
          </w:tcPr>
          <w:p w14:paraId="1AB33432" w14:textId="77777777" w:rsidR="00EE1547" w:rsidRPr="00F65F6D" w:rsidRDefault="00177CDE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67E62260" w14:textId="77777777" w:rsidR="007413ED" w:rsidRPr="00F65F6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shd w:val="clear" w:color="auto" w:fill="EEECE1" w:themeFill="background2"/>
          </w:tcPr>
          <w:p w14:paraId="02C1B045" w14:textId="77777777" w:rsidR="00EE1547" w:rsidRPr="00F65F6D" w:rsidRDefault="00EE1547" w:rsidP="00EE154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E1547" w:rsidRPr="00F65F6D" w14:paraId="56356E1E" w14:textId="77777777" w:rsidTr="0062367A">
        <w:tc>
          <w:tcPr>
            <w:tcW w:w="1101" w:type="dxa"/>
          </w:tcPr>
          <w:p w14:paraId="556D0A46" w14:textId="77777777" w:rsidR="00EE1547" w:rsidRPr="00F65F6D" w:rsidRDefault="00177CDE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10.00-12.00</w:t>
            </w:r>
          </w:p>
        </w:tc>
        <w:tc>
          <w:tcPr>
            <w:tcW w:w="6662" w:type="dxa"/>
          </w:tcPr>
          <w:p w14:paraId="53301152" w14:textId="77777777" w:rsidR="005468CC" w:rsidRPr="00F65F6D" w:rsidRDefault="005468CC" w:rsidP="005468CC">
            <w:pPr>
              <w:spacing w:after="0" w:line="360" w:lineRule="auto"/>
              <w:rPr>
                <w:rFonts w:ascii="Arial Narrow" w:hAnsi="Arial Narrow" w:cs="Arial"/>
              </w:rPr>
            </w:pPr>
          </w:p>
          <w:p w14:paraId="76155439" w14:textId="77777777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ustawy z dnia 29 lipca 2005 r. o przeciwdziałaniu przemocy w rodzinie, przypomnienie definicji przemocy domowej, rozróżnienie pojęć „przemoc” i „znęcanie się”. Omówienie aktów wykonawczych do ustawy. Omówienie założeń Krajowego Programu Przeciwdziałania Przemocy w Rodzinie za na lata 2014 – 2020 oraz przyjętego na kolejną perspektywę czasową. </w:t>
            </w:r>
          </w:p>
          <w:p w14:paraId="2B4CFBF4" w14:textId="77777777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przestępstw przeciwko rodzinie i opiece popełnianych z użyciem przemocy, uregulowanych w Kodeksie karnym, wskazanie ich trybów ścigania. Omówienie formularza „Niebieska Karta B” w odniesieniu do kolejnych nowelizacji przepisów prawa karnego </w:t>
            </w:r>
          </w:p>
          <w:p w14:paraId="436A9330" w14:textId="7AEA5EC2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kar możliwych do orzeczenia wobec sprawców przemocy domowej na gruncie Kodeksu karnego. Omówienie środków karnych, zabezpieczający i probacyjnych możliwych do orzeczenia wobec sprawców przemocy domowej w wyroku skazującym ze szczególnym</w:t>
            </w:r>
            <w:r w:rsidR="00F921A1" w:rsidRPr="00F65F6D">
              <w:rPr>
                <w:rFonts w:ascii="Arial Narrow" w:hAnsi="Arial Narrow" w:cs="Arial"/>
              </w:rPr>
              <w:t xml:space="preserve"> </w:t>
            </w:r>
            <w:r w:rsidRPr="00F65F6D">
              <w:rPr>
                <w:rFonts w:ascii="Arial Narrow" w:hAnsi="Arial Narrow" w:cs="Arial"/>
              </w:rPr>
              <w:t xml:space="preserve">uwzględnieniem kary pozbawienia wolności z warunkowym zawieszeniem wykonania oraz nakazu opuszczenia lokalu i zakazie zbliżania się do osoby pokrzywdzonej.  </w:t>
            </w:r>
          </w:p>
          <w:p w14:paraId="6A9D6037" w14:textId="77777777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art. 12a ustawy o przeciwdziałaniu przemocy w rodzinie. Odpowiedzialność karna i dyscyplinarna przedstawicieli służb za niepodjęcie działań. </w:t>
            </w:r>
          </w:p>
          <w:p w14:paraId="32811EA2" w14:textId="77777777" w:rsidR="006E2C12" w:rsidRPr="00F65F6D" w:rsidRDefault="006E2C12" w:rsidP="005468C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</w:tcPr>
          <w:p w14:paraId="1E8101F9" w14:textId="77777777" w:rsidR="00EE1547" w:rsidRPr="00F65F6D" w:rsidRDefault="00987B6E" w:rsidP="00987B6E">
            <w:pPr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EE1547" w:rsidRPr="00F65F6D" w14:paraId="37B635CD" w14:textId="77777777" w:rsidTr="000266E7">
        <w:tc>
          <w:tcPr>
            <w:tcW w:w="1101" w:type="dxa"/>
            <w:shd w:val="clear" w:color="auto" w:fill="EEECE1" w:themeFill="background2"/>
          </w:tcPr>
          <w:p w14:paraId="5ACE6BBC" w14:textId="77777777" w:rsidR="00EE1547" w:rsidRPr="00F65F6D" w:rsidRDefault="00433FAD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12.00-12.15</w:t>
            </w:r>
          </w:p>
        </w:tc>
        <w:tc>
          <w:tcPr>
            <w:tcW w:w="6662" w:type="dxa"/>
            <w:shd w:val="clear" w:color="auto" w:fill="EEECE1" w:themeFill="background2"/>
          </w:tcPr>
          <w:p w14:paraId="3C07E849" w14:textId="77777777" w:rsidR="00EE1547" w:rsidRPr="00F65F6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1666FBF5" w14:textId="77777777" w:rsidR="007413ED" w:rsidRPr="00F65F6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shd w:val="clear" w:color="auto" w:fill="EEECE1" w:themeFill="background2"/>
          </w:tcPr>
          <w:p w14:paraId="07DCABC4" w14:textId="77777777" w:rsidR="00EE1547" w:rsidRPr="00F65F6D" w:rsidRDefault="00EE1547" w:rsidP="00EE154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E1547" w:rsidRPr="00F65F6D" w14:paraId="44FE31BC" w14:textId="77777777" w:rsidTr="0062367A">
        <w:tc>
          <w:tcPr>
            <w:tcW w:w="1101" w:type="dxa"/>
          </w:tcPr>
          <w:p w14:paraId="643ACAC5" w14:textId="77777777" w:rsidR="00EE1547" w:rsidRPr="00F65F6D" w:rsidRDefault="0062367A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12.15-14.15</w:t>
            </w:r>
          </w:p>
        </w:tc>
        <w:tc>
          <w:tcPr>
            <w:tcW w:w="6662" w:type="dxa"/>
          </w:tcPr>
          <w:p w14:paraId="3E81C47A" w14:textId="1A4D1E79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Formy pomocy udzielanej osobie dotkniętej przemocą ze szczególnym uwzględnieniem kolejności podejmowanych działań. Podstawy prawa medycznego, zasady udzielania świadcz</w:t>
            </w:r>
            <w:r w:rsidR="005A1B4D">
              <w:rPr>
                <w:rFonts w:ascii="Arial Narrow" w:hAnsi="Arial Narrow" w:cs="Arial"/>
              </w:rPr>
              <w:t>eń</w:t>
            </w:r>
            <w:r w:rsidRPr="00F65F6D">
              <w:rPr>
                <w:rFonts w:ascii="Arial Narrow" w:hAnsi="Arial Narrow" w:cs="Arial"/>
              </w:rPr>
              <w:t xml:space="preserve"> zdrowotnych osobie doznającej </w:t>
            </w:r>
            <w:r w:rsidRPr="00F65F6D">
              <w:rPr>
                <w:rFonts w:ascii="Arial Narrow" w:hAnsi="Arial Narrow" w:cs="Arial"/>
              </w:rPr>
              <w:lastRenderedPageBreak/>
              <w:t xml:space="preserve">przemocy oraz dokumentowania doznanych w wyniku przemocy obrażeń ciała. </w:t>
            </w:r>
          </w:p>
          <w:p w14:paraId="135B5F27" w14:textId="77777777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   Definicja procedury „Niebieskie Karty” dla przypomnienia. Treść paragrafu 2 rozporządzenia w sprawie procedury niebieskie karty – wszczęcie procedury. Podstawy działań zespołu interdyscyplinarnego i grup roboczych, zasady współpracy przedstawicieli organów wchodzących w skład zespołu i grup, obieg dokumentacji w ramach procedury. </w:t>
            </w:r>
          </w:p>
          <w:p w14:paraId="335E250C" w14:textId="77777777" w:rsidR="005468CC" w:rsidRPr="00F65F6D" w:rsidRDefault="005468CC" w:rsidP="005468CC">
            <w:pPr>
              <w:pStyle w:val="Akapitzlist"/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  <w:p w14:paraId="3DC01AF2" w14:textId="77777777" w:rsidR="005468CC" w:rsidRPr="00F65F6D" w:rsidRDefault="005468CC" w:rsidP="005468C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Zasada dokumentacji wszelkich działań w toku procedury „NK” - </w:t>
            </w:r>
            <w:r w:rsidRPr="00F65F6D">
              <w:rPr>
                <w:rFonts w:ascii="Arial Narrow" w:hAnsi="Arial Narrow" w:cs="Arial"/>
                <w:bCs/>
              </w:rPr>
              <w:t xml:space="preserve">§ 10 Rozporządzenia. Forma czynności w ramach procedury „NK”. co powinna zawierać dokumentacja czynności „NK”. Wymogi formalne dokumentacji.  Rodzaje formularzy „Niebieska Karta” i ich praktyczne zastosowanie. </w:t>
            </w:r>
          </w:p>
          <w:p w14:paraId="0DD68ABC" w14:textId="77777777" w:rsidR="00FC3EEE" w:rsidRPr="00F65F6D" w:rsidRDefault="00FC3EEE" w:rsidP="005468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7A951972" w14:textId="77777777" w:rsidR="00EE1547" w:rsidRPr="00F65F6D" w:rsidRDefault="0062367A" w:rsidP="00EE1547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lastRenderedPageBreak/>
              <w:t xml:space="preserve">Wykład multimedialny, burza mózgów, panel dyskusyjny, </w:t>
            </w:r>
            <w:r w:rsidRPr="00F65F6D">
              <w:rPr>
                <w:rFonts w:ascii="Arial Narrow" w:hAnsi="Arial Narrow" w:cs="Arial"/>
              </w:rPr>
              <w:lastRenderedPageBreak/>
              <w:t>warsztat</w:t>
            </w:r>
          </w:p>
        </w:tc>
      </w:tr>
    </w:tbl>
    <w:p w14:paraId="66C6D4EF" w14:textId="77777777" w:rsidR="00EE1547" w:rsidRPr="00F65F6D" w:rsidRDefault="00EE1547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37387F" w:rsidRPr="00F65F6D" w14:paraId="2321D00E" w14:textId="77777777" w:rsidTr="00E060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E3B448" w14:textId="77777777" w:rsidR="0037387F" w:rsidRPr="00F65F6D" w:rsidRDefault="00E060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14.15-15</w:t>
            </w:r>
            <w:r w:rsidR="0037387F" w:rsidRPr="00F65F6D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8817BB" w14:textId="77777777" w:rsidR="0037387F" w:rsidRPr="00F65F6D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Obiad</w:t>
            </w:r>
          </w:p>
          <w:p w14:paraId="2603383A" w14:textId="77777777" w:rsidR="0037387F" w:rsidRPr="00F65F6D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90D3FF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:rsidRPr="00F65F6D" w14:paraId="341C12A1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6A92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15.00-17.00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59CC" w14:textId="77777777" w:rsidR="005468CC" w:rsidRPr="00F65F6D" w:rsidRDefault="005468CC" w:rsidP="005468CC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  <w:p w14:paraId="0881E37E" w14:textId="77777777" w:rsidR="005468CC" w:rsidRPr="00F65F6D" w:rsidRDefault="005468CC" w:rsidP="005468CC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art. 9c ust. 1 ustawy o przeciwdziałaniu przemocy w rodzinie. Zasady przetwarzania danych osobowych przez zespół interdyscyplinarny. Upoważnienie do przetwarzania danych wrażliwych. Tryb przekazywania danych przez podmioty realizujące procedurę „Niebieskie karty”. Zastosowanie ustawy o ochronie danych osobowych do przetwarzania danych przez zespół interdyscyplinarnych. Gwarancje bezpieczeństwa danych. Tajemnica służbowa i zawodowa (lekarska,  psychologa, psychoterapeuty) w procesie przeciwdziałania przemocy w rodzinie. </w:t>
            </w:r>
          </w:p>
          <w:p w14:paraId="7A012054" w14:textId="77777777" w:rsidR="005468CC" w:rsidRPr="00F65F6D" w:rsidRDefault="005468CC" w:rsidP="005468CC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art. 9c ust. 2 i 3 ustawy o przeciwdziałaniu przemocy w rodzinie – obowiązek zachowania poufności informacji i danych uzyskanych podczas realizacji procedury „Niebieskie Karty”. Sposób przekazywania dokumentów pomiędzy podmiotami realizującymi procedurę i ich zabezpieczenia przed osobami nieuprawnionymi do zapoznawania się z ich treścią. Problem udostępniania danych związanych z realizacją procedury „Niebieskie Karty” potencjalnemu sprawcy przemocy oraz osobie doznającej przemocy. </w:t>
            </w:r>
          </w:p>
          <w:p w14:paraId="18422244" w14:textId="77777777" w:rsidR="005468CC" w:rsidRPr="00F65F6D" w:rsidRDefault="005468CC" w:rsidP="005468CC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art. 12 ust. 1 ustawy o przeciwdziałaniu przemocy w rodzinie i § 10 ust. 1 i 2 rozporządzenia Rady Ministrów w sprawie procedury „Niebieskie Karty”. Relacja tych przepisów do art. 23 i 27 ustawy o ochronie danych osobowych. </w:t>
            </w:r>
          </w:p>
          <w:p w14:paraId="1C0B599F" w14:textId="77777777" w:rsidR="00E06051" w:rsidRPr="00F65F6D" w:rsidRDefault="00E06051" w:rsidP="00C21EE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95" w14:textId="77777777" w:rsidR="0037387F" w:rsidRPr="00F65F6D" w:rsidRDefault="009C2147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37387F" w:rsidRPr="00F65F6D" w14:paraId="2F92E9F3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037BF0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lastRenderedPageBreak/>
              <w:t>17.00-17.15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B66AAD" w14:textId="77777777" w:rsidR="0037387F" w:rsidRPr="00F65F6D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65272312" w14:textId="77777777" w:rsidR="0037387F" w:rsidRPr="00F65F6D" w:rsidRDefault="003738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795A88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:rsidRPr="00F65F6D" w14:paraId="207753E6" w14:textId="77777777" w:rsidTr="00C21E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E140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17.15-19.15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DC37B" w14:textId="77777777" w:rsidR="00C21EE2" w:rsidRPr="00F65F6D" w:rsidRDefault="00C21EE2" w:rsidP="00C21EE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projektów pism inicjujących postępowania przed organami ochrony prawnej (zawiadomienie o przestępstwie, wniosek o wydanie zarządzeń opiekuńczych przez sąd rodzinny, wniosek o przyznanie świadczeń)</w:t>
            </w:r>
          </w:p>
          <w:p w14:paraId="2F611602" w14:textId="77777777" w:rsidR="00C21EE2" w:rsidRPr="00F65F6D" w:rsidRDefault="00C21EE2" w:rsidP="00C21EE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Pytania i odpowiedzi.</w:t>
            </w:r>
          </w:p>
          <w:p w14:paraId="723F2326" w14:textId="77777777" w:rsidR="00BA5D8C" w:rsidRPr="00F65F6D" w:rsidRDefault="00BA5D8C" w:rsidP="005468CC">
            <w:pPr>
              <w:pStyle w:val="Akapitzlist"/>
              <w:spacing w:after="0" w:line="240" w:lineRule="auto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CE8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37387F" w:rsidRPr="00F65F6D" w14:paraId="2A885547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DA5C86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1C3C7A" w14:textId="77777777" w:rsidR="0037387F" w:rsidRPr="00F65F6D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Kolacja</w:t>
            </w:r>
          </w:p>
          <w:p w14:paraId="5648C5D9" w14:textId="77777777" w:rsidR="0037387F" w:rsidRPr="00F65F6D" w:rsidRDefault="003738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DAF225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:rsidRPr="00F65F6D" w14:paraId="68F8183A" w14:textId="77777777" w:rsidTr="00EA3B6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3C447B" w14:textId="77777777" w:rsidR="0037387F" w:rsidRPr="00F65F6D" w:rsidRDefault="0037387F" w:rsidP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5F6D">
              <w:rPr>
                <w:rFonts w:ascii="Arial Narrow" w:hAnsi="Arial Narrow" w:cs="Arial"/>
                <w:b/>
                <w:sz w:val="28"/>
                <w:szCs w:val="28"/>
              </w:rPr>
              <w:t>II dzień</w:t>
            </w:r>
          </w:p>
          <w:p w14:paraId="621C0BA8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737F8" w:rsidRPr="00F65F6D" w14:paraId="15B93089" w14:textId="77777777" w:rsidTr="00EA3B6F">
        <w:tc>
          <w:tcPr>
            <w:tcW w:w="1101" w:type="dxa"/>
          </w:tcPr>
          <w:p w14:paraId="10C64E00" w14:textId="77777777" w:rsidR="00B737F8" w:rsidRPr="00F65F6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</w:tcPr>
          <w:p w14:paraId="22AB232E" w14:textId="77777777" w:rsidR="00B737F8" w:rsidRPr="00F65F6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Zakres merytoryczny</w:t>
            </w:r>
          </w:p>
          <w:p w14:paraId="1A7152A3" w14:textId="77777777" w:rsidR="00B737F8" w:rsidRPr="00F65F6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087BF02A" w14:textId="77777777" w:rsidR="00B737F8" w:rsidRPr="00F65F6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B737F8" w:rsidRPr="00F65F6D" w14:paraId="52E82AFC" w14:textId="77777777" w:rsidTr="00EA3B6F">
        <w:tc>
          <w:tcPr>
            <w:tcW w:w="1101" w:type="dxa"/>
            <w:shd w:val="clear" w:color="auto" w:fill="EEECE1" w:themeFill="background2"/>
          </w:tcPr>
          <w:p w14:paraId="7C87B0DD" w14:textId="77777777" w:rsidR="00B737F8" w:rsidRPr="00F65F6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8.00-8.45</w:t>
            </w:r>
          </w:p>
        </w:tc>
        <w:tc>
          <w:tcPr>
            <w:tcW w:w="6662" w:type="dxa"/>
            <w:shd w:val="clear" w:color="auto" w:fill="EEECE1" w:themeFill="background2"/>
          </w:tcPr>
          <w:p w14:paraId="7C98F7DB" w14:textId="77777777" w:rsidR="00B737F8" w:rsidRPr="00F65F6D" w:rsidRDefault="00B737F8" w:rsidP="001A7A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Śniadanie</w:t>
            </w:r>
          </w:p>
        </w:tc>
        <w:tc>
          <w:tcPr>
            <w:tcW w:w="1449" w:type="dxa"/>
            <w:shd w:val="clear" w:color="auto" w:fill="EEECE1" w:themeFill="background2"/>
          </w:tcPr>
          <w:p w14:paraId="13698A37" w14:textId="77777777" w:rsidR="00B737F8" w:rsidRPr="00F65F6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387F" w:rsidRPr="00F65F6D" w14:paraId="4873F4F1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C5D892" w14:textId="77777777" w:rsidR="0037387F" w:rsidRPr="00F65F6D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8.45-9.00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121668" w14:textId="77777777" w:rsidR="0037387F" w:rsidRPr="00F65F6D" w:rsidRDefault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54F2648E" w14:textId="77777777" w:rsidR="00B737F8" w:rsidRPr="00F65F6D" w:rsidRDefault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086E14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:rsidRPr="00F65F6D" w14:paraId="788C6611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F2C" w14:textId="77777777" w:rsidR="0037387F" w:rsidRPr="00F65F6D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9.00-11.00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ADC" w14:textId="77777777" w:rsidR="005468CC" w:rsidRPr="00F65F6D" w:rsidRDefault="00EB67A1" w:rsidP="00EB67A1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Prawne możliwości zobowiązania do opuszczenia przez sprawcę przemocy domowej lokalu zajmowanego wspólnie z pokrzywdzonym w świetle nowelizacji Kodeksu postępowania cywilnego, ustawy z dnia 29 czerwca 2005 r. o przeciwdziałaniu przemocy w rodzinie oraz nowelizacji ustawy z 06 kwietnia 1990 r. o Policji.</w:t>
            </w:r>
          </w:p>
          <w:p w14:paraId="33089587" w14:textId="77777777" w:rsidR="005468CC" w:rsidRPr="00F65F6D" w:rsidRDefault="005468CC" w:rsidP="005468CC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Podstawy prawne opróżnienia przez sprawcę przemocy domowej lokalu zajmowanego wspólnie z pokrzywdzonym</w:t>
            </w:r>
          </w:p>
          <w:p w14:paraId="6B5D1A15" w14:textId="77777777" w:rsidR="005468CC" w:rsidRPr="00F65F6D" w:rsidRDefault="005468CC" w:rsidP="005468CC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art. 11a ustawy z dnia 29 lipca 2005 r. o przeciwdziałaniu przemocy w rodzinie – podmioty, definicja przemocy domowej jako przesłanki żądania opuszczenia mieszkania, rozróżnienie pojęć „przemoc” i „znęcanie się”.</w:t>
            </w:r>
          </w:p>
          <w:p w14:paraId="6DBE80C0" w14:textId="77777777" w:rsidR="005468CC" w:rsidRPr="00F65F6D" w:rsidRDefault="005468CC" w:rsidP="005468CC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art. 15a ustawy o Policji – przesłanki do zatrzymania przez funkcjonariusza Policji sprawcy przemocy w rodzinie.</w:t>
            </w:r>
          </w:p>
          <w:p w14:paraId="405E3FF5" w14:textId="77777777" w:rsidR="00393E55" w:rsidRPr="00F65F6D" w:rsidRDefault="00393E55" w:rsidP="005468CC">
            <w:pPr>
              <w:pStyle w:val="Default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DBB" w14:textId="77777777" w:rsidR="0037387F" w:rsidRPr="00F65F6D" w:rsidRDefault="009C2147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Wykład multimedialny, burza mózgów, panel dyskusyjny</w:t>
            </w:r>
            <w:r w:rsidR="00E70755" w:rsidRPr="00F65F6D">
              <w:rPr>
                <w:rFonts w:ascii="Arial Narrow" w:hAnsi="Arial Narrow" w:cs="Arial"/>
              </w:rPr>
              <w:t>, cuse study</w:t>
            </w:r>
          </w:p>
        </w:tc>
      </w:tr>
      <w:tr w:rsidR="0037387F" w:rsidRPr="00F65F6D" w14:paraId="5DFEEBBE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34932F" w14:textId="77777777" w:rsidR="0037387F" w:rsidRPr="00F65F6D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11.00-11.15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FF5967" w14:textId="77777777" w:rsidR="00B737F8" w:rsidRPr="00F65F6D" w:rsidRDefault="00B737F8" w:rsidP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73158A66" w14:textId="77777777" w:rsidR="0037387F" w:rsidRPr="00F65F6D" w:rsidRDefault="0037387F" w:rsidP="00B737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6B5DEC" w14:textId="77777777" w:rsidR="0037387F" w:rsidRPr="00F65F6D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93E55" w:rsidRPr="00F65F6D" w14:paraId="2E94AF72" w14:textId="77777777" w:rsidTr="00393E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6BD08" w14:textId="77777777" w:rsidR="00393E55" w:rsidRPr="00F65F6D" w:rsidRDefault="00393E55" w:rsidP="00393E5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11.15-13.15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89AF" w14:textId="77777777" w:rsidR="00EB67A1" w:rsidRPr="00F65F6D" w:rsidRDefault="00EB67A1" w:rsidP="00EB67A1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eastAsia="Times New Roman" w:hAnsi="Arial Narrow" w:cs="Arial"/>
                <w:lang w:eastAsia="pl-PL"/>
              </w:rPr>
              <w:t xml:space="preserve">Uprawnienia Policji do wydania wobec osoby stwarzającej zagrożenie dla życia lub zdrowia osoby dotkniętej przemocą w rodzinie nakazu natychmiastowego opuszczenia wspólnie zajmowanego mieszkania lub zakazu zbliżania się do mieszkania i jego bezpośredniego otoczenia – art. 15aa i następne ustawy o Policji. Procedura wydania nakazu natychmiastowego opuszczenia mieszkania lub zakazu zbliżania się do mieszkania i jego bezpośredniego otoczenia Przebieg postępowania, czynności obligatoryjne i fakultatywne. Treść policyjnego nakazu opuszczenia lokalu. Wykonanie nakazu i konsekwencje jego wydania dla postępowania karnego, cywilnego i procedury „Niebieskie Karty”. </w:t>
            </w:r>
            <w:r w:rsidRPr="00F65F6D">
              <w:rPr>
                <w:rFonts w:ascii="Arial Narrow" w:eastAsia="Times New Roman" w:hAnsi="Arial Narrow" w:cs="Arial"/>
                <w:lang w:eastAsia="pl-PL"/>
              </w:rPr>
              <w:lastRenderedPageBreak/>
              <w:t xml:space="preserve">Kontrola wykonania. Sposób i terminy zaskarżenia. </w:t>
            </w:r>
          </w:p>
          <w:p w14:paraId="67F50B47" w14:textId="77777777" w:rsidR="00393E55" w:rsidRPr="00F65F6D" w:rsidRDefault="00393E55" w:rsidP="00C21EE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E88D9" w14:textId="77777777" w:rsidR="00393E55" w:rsidRPr="00F65F6D" w:rsidRDefault="00393E55" w:rsidP="00393E55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lastRenderedPageBreak/>
              <w:t>Wykład multimedialny, burza mózgów, panel dyskusyjny</w:t>
            </w:r>
          </w:p>
        </w:tc>
      </w:tr>
      <w:tr w:rsidR="00393E55" w:rsidRPr="00F65F6D" w14:paraId="48112D3E" w14:textId="77777777" w:rsidTr="00393E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1B6E40" w14:textId="77777777" w:rsidR="00393E55" w:rsidRPr="00F65F6D" w:rsidRDefault="00393E55" w:rsidP="00393E5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13.15-14.00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614BD1" w14:textId="77777777" w:rsidR="00393E55" w:rsidRPr="00F65F6D" w:rsidRDefault="00393E55" w:rsidP="00393E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Obiad</w:t>
            </w:r>
          </w:p>
          <w:p w14:paraId="4BA65E1A" w14:textId="77777777" w:rsidR="00393E55" w:rsidRPr="00F65F6D" w:rsidRDefault="00393E55" w:rsidP="00393E5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74E8BB" w14:textId="77777777" w:rsidR="00393E55" w:rsidRPr="00F65F6D" w:rsidRDefault="00393E55" w:rsidP="00393E5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93E55" w:rsidRPr="00F65F6D" w14:paraId="244A3500" w14:textId="77777777" w:rsidTr="00393E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17F29" w14:textId="77777777" w:rsidR="00393E55" w:rsidRPr="00F65F6D" w:rsidRDefault="00393E55" w:rsidP="00393E5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14.00-16.00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1D3B" w14:textId="77777777" w:rsidR="00C21EE2" w:rsidRPr="00F65F6D" w:rsidRDefault="00C21EE2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Przebieg postępowania o opróżnienie przez sprawcę przemocy wspólnie zajmowanego mieszkania z uwzględnieniem zmian w Kodeksie postępowania cywilnego w brzmieniu obowiązującym od dnia 30 listopada 2020 r. – podmioty uprawnione do złożenia wniosku, omówienie nieprocesowego trybu postępowania, koszt złożenia wniosku (bezpłatność postępowania i egzekucji), treść wniosku, treść postanowienia sądowego, natychmiastowa wykonalność postanowienia, możliwość ustanowienia przez sąd zabezpieczenia. Omówienie wzorów pism procesowych stosowanych w w/w postępowaniu, w szczególności wniosku o zobowiązanie sprawcy przemocy do opuszczenia lokalu. </w:t>
            </w:r>
          </w:p>
          <w:p w14:paraId="268A9145" w14:textId="11540A40" w:rsidR="00EB67A1" w:rsidRPr="00F65F6D" w:rsidRDefault="00EB67A1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art. 13 ustawy z 21 czerwca 2005 r. o ochronie praw  lokatorów, mieszkaniowym zasobie gminy i zmianie Kodeksu cywilnego – podmioty przepisu, zakres i przesłanki stosowania, omówienie różnic przebiegu postępowania na podstawie tego przepisu w porównaniu z art. 11a ustawy z dnia 29 lipca 2005 r. o przeciwdziałaniu przemocy w rodzinie oraz różnic w skutkach zapadłych orzeczeń.</w:t>
            </w:r>
          </w:p>
          <w:p w14:paraId="2CF3DB49" w14:textId="77777777" w:rsidR="00EB67A1" w:rsidRPr="00F65F6D" w:rsidRDefault="00EB67A1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Tryb postępowania z  13 ustawy z 21 czerwca 2005 r. o ochronie praw  lokatorów, ciężar dowodu, środki dowodowe, koszt wytoczenia powództwa i możliwości zwolnienia z niego.</w:t>
            </w:r>
          </w:p>
          <w:p w14:paraId="2230437B" w14:textId="77777777" w:rsidR="00EB67A1" w:rsidRPr="00F65F6D" w:rsidRDefault="00EB67A1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art.   58 § 2 Kodeksu rodzinnego i opiekuńczego – możliwość orzeczenia eksmisji w wyroku orzekającym rozwód.</w:t>
            </w:r>
          </w:p>
          <w:p w14:paraId="67CB9F0F" w14:textId="77777777" w:rsidR="00393E55" w:rsidRPr="00F65F6D" w:rsidRDefault="00393E55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1EE93" w14:textId="77777777" w:rsidR="00393E55" w:rsidRPr="00F65F6D" w:rsidRDefault="00393E55" w:rsidP="00393E55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5058B7" w:rsidRPr="00F65F6D" w14:paraId="59D6D129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E0124C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16.00-16.15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2ACA86" w14:textId="77777777" w:rsidR="005058B7" w:rsidRPr="00F65F6D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0CA83326" w14:textId="77777777" w:rsidR="005058B7" w:rsidRPr="00F65F6D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BF02B0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058B7" w:rsidRPr="00F65F6D" w14:paraId="74170975" w14:textId="77777777" w:rsidTr="00C21E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E6B7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16.15-18.15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3214" w14:textId="77777777" w:rsidR="00C21EE2" w:rsidRPr="00F65F6D" w:rsidRDefault="00C21EE2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Wykonanie orzeczenia o opróżnieniu lokalu przez sprawcę przemocy w rodzinie - treść artykułu 1046 § 4 Kodeksu postępowania cywilnego, brak potrzeby wskazania lokalu zamiennego wobec sprawców przemocy domowej, bezpłatność postępowania dla osoby dotkniętej przemocą, przebieg egzekucji.</w:t>
            </w:r>
          </w:p>
          <w:p w14:paraId="748F1409" w14:textId="77777777" w:rsidR="00C21EE2" w:rsidRPr="00F65F6D" w:rsidRDefault="00C21EE2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Omówienie środków zapobiegawczych wobec sprawców przemocy w rodzinie stosowanych w toku postępowania karnego – treść art. 275 i 275a kpk - przesłanki, organy stosujące, sposób wykonania postanowienia o oddaniu pod dozór Policji i </w:t>
            </w:r>
            <w:r w:rsidRPr="00F65F6D">
              <w:rPr>
                <w:rFonts w:ascii="Arial Narrow" w:hAnsi="Arial Narrow" w:cs="Arial"/>
                <w:color w:val="000000" w:themeColor="text1"/>
              </w:rPr>
              <w:t>nakazie</w:t>
            </w:r>
            <w:r w:rsidRPr="00F65F6D">
              <w:rPr>
                <w:rFonts w:ascii="Arial Narrow" w:hAnsi="Arial Narrow" w:cs="Arial"/>
              </w:rPr>
              <w:t xml:space="preserve"> opuszczenia lokalu zajmowanego przez </w:t>
            </w:r>
            <w:r w:rsidRPr="00F65F6D">
              <w:rPr>
                <w:rFonts w:ascii="Arial Narrow" w:hAnsi="Arial Narrow" w:cs="Arial"/>
              </w:rPr>
              <w:lastRenderedPageBreak/>
              <w:t>sprawcę.</w:t>
            </w:r>
          </w:p>
          <w:p w14:paraId="30009741" w14:textId="77777777" w:rsidR="00C21EE2" w:rsidRPr="00F65F6D" w:rsidRDefault="00C21EE2" w:rsidP="00C21EE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środków karnych i probacyjnych możliwych do orzeczenia wobec sprawców przemocy domowej w wyroku skazującym.</w:t>
            </w:r>
          </w:p>
          <w:p w14:paraId="52F9C5A2" w14:textId="77777777" w:rsidR="002437A2" w:rsidRPr="00F65F6D" w:rsidRDefault="002437A2" w:rsidP="00EB67A1">
            <w:pPr>
              <w:pStyle w:val="Akapitzlist"/>
              <w:spacing w:after="0" w:line="240" w:lineRule="auto"/>
              <w:ind w:left="1080"/>
              <w:rPr>
                <w:rFonts w:ascii="Arial Narrow" w:hAnsi="Arial Narrow" w:cs="Arial"/>
                <w:i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B8CF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lastRenderedPageBreak/>
              <w:t>Warsztat, praca w grupach, praca w gniazdach,</w:t>
            </w:r>
          </w:p>
          <w:p w14:paraId="0301B8B1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panel dyskusyjny</w:t>
            </w:r>
          </w:p>
        </w:tc>
      </w:tr>
      <w:tr w:rsidR="005058B7" w:rsidRPr="00F65F6D" w14:paraId="7434B9DE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D2BF53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029A42" w14:textId="77777777" w:rsidR="005058B7" w:rsidRPr="00F65F6D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Kolacja</w:t>
            </w:r>
          </w:p>
          <w:p w14:paraId="30E4BE47" w14:textId="77777777" w:rsidR="005058B7" w:rsidRPr="00F65F6D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647DA3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058B7" w:rsidRPr="00F65F6D" w14:paraId="3859864F" w14:textId="77777777" w:rsidTr="005058B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CB69D1" w14:textId="77777777" w:rsidR="005058B7" w:rsidRPr="00F65F6D" w:rsidRDefault="005058B7" w:rsidP="005058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65F6D">
              <w:rPr>
                <w:rFonts w:ascii="Arial Narrow" w:hAnsi="Arial Narrow" w:cs="Arial"/>
                <w:b/>
                <w:sz w:val="28"/>
                <w:szCs w:val="28"/>
              </w:rPr>
              <w:t>III dzień</w:t>
            </w:r>
          </w:p>
          <w:p w14:paraId="07A74D9F" w14:textId="77777777" w:rsidR="005058B7" w:rsidRPr="00F65F6D" w:rsidRDefault="005058B7" w:rsidP="005058B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:rsidRPr="00F65F6D" w14:paraId="5135A4E6" w14:textId="77777777" w:rsidTr="005058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4B5B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1C6E9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Zakres merytoryczny</w:t>
            </w:r>
          </w:p>
          <w:p w14:paraId="7588C536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2B064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C46AD1" w:rsidRPr="00F65F6D" w14:paraId="1489F45B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03EAB7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8.00-9.00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503C2F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Śniadanie</w:t>
            </w:r>
          </w:p>
          <w:p w14:paraId="1021986A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E0DCF7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:rsidRPr="00F65F6D" w14:paraId="576BAD2D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0E05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9.00-11.00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89D1" w14:textId="77777777" w:rsidR="00AD00BB" w:rsidRPr="00F65F6D" w:rsidRDefault="00EB67A1" w:rsidP="00EB67A1">
            <w:pPr>
              <w:spacing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Aspekty prawne postępowania dotyczącego pomocy dziecku dotkniętemu przemocą w rodzinie. Procedura odebrania dziecka przez pracownika socjalnego i inne organy w razie  bezpośredniego zagrożenia życia lub zdrowia  w związku z przemocą w rodzinie.</w:t>
            </w:r>
          </w:p>
          <w:p w14:paraId="1571F304" w14:textId="77777777" w:rsidR="00EB67A1" w:rsidRPr="00F65F6D" w:rsidRDefault="00EB67A1" w:rsidP="00EB67A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>Zakres władzy rodzicielskiej oraz zakaz stosowania kar cielesnych wobec małoletniego – art. 96</w:t>
            </w:r>
            <w:r w:rsidRPr="00F65F6D">
              <w:rPr>
                <w:rFonts w:ascii="Cambria Math" w:hAnsi="Cambria Math" w:cs="Cambria Math"/>
                <w:bCs/>
              </w:rPr>
              <w:t>₁</w:t>
            </w:r>
            <w:r w:rsidRPr="00F65F6D">
              <w:rPr>
                <w:rFonts w:ascii="Arial Narrow" w:hAnsi="Arial Narrow" w:cs="Arial"/>
                <w:bCs/>
              </w:rPr>
              <w:t xml:space="preserve"> i następne Kodeksu rodzinnego i opiekuńczego. Zasady reprezentacji dziecka w czynnościach prawnych oraz przed sądami i organami władzy publicznej – art. 98 krio</w:t>
            </w:r>
          </w:p>
          <w:p w14:paraId="4F849CFF" w14:textId="77777777" w:rsidR="00EB67A1" w:rsidRPr="00F65F6D" w:rsidRDefault="00EB67A1" w:rsidP="00EB67A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Reprezentacja dziecka w sprawach o przestępstwa na jego szkodę, gdy sprawcą jest rodzic bądź opiekun w świetle nowelizacji Kodeksu rodzinnego i opiekuńczego. </w:t>
            </w:r>
          </w:p>
          <w:p w14:paraId="2D87B37C" w14:textId="77777777" w:rsidR="00EB67A1" w:rsidRPr="00F65F6D" w:rsidRDefault="00EB67A1" w:rsidP="00EB67A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 xml:space="preserve">Postępowanie sądu w razie stwierdzenia zagrożenia dobra dziecka – ograniczenie władzy rodzicielskiej – art. 109 krio. zakres zarządzeń opiekuńczych wydawanych przez sąd (ograniczenie władzy rodzicielskiej). przesłanki ograniczenia władzy rodzicielskiej – pojęcie „zagrożenia dobra dziecka”. przesłanki umieszczenia dziecka w pieczy zastępczej. </w:t>
            </w:r>
          </w:p>
          <w:p w14:paraId="49FD7583" w14:textId="77777777" w:rsidR="00EB67A1" w:rsidRPr="00F65F6D" w:rsidRDefault="00EB67A1" w:rsidP="00EB67A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 xml:space="preserve">Zawieszenie władzy rodzicielskiej - </w:t>
            </w:r>
            <w:r w:rsidRPr="00F65F6D">
              <w:rPr>
                <w:rFonts w:ascii="Arial Narrow" w:hAnsi="Arial Narrow" w:cs="Arial"/>
              </w:rPr>
              <w:t>art. 110 krio. Przesłanki stosowania, pojęcie przemijającej przeszkody w wykonywaniu władzy rodzicielskiej.</w:t>
            </w:r>
          </w:p>
          <w:p w14:paraId="1B91F7C9" w14:textId="77777777" w:rsidR="00EB67A1" w:rsidRPr="00F65F6D" w:rsidRDefault="00EB67A1" w:rsidP="00EB67A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>Pozbawienie władzy rodzicielskiej - art</w:t>
            </w:r>
            <w:r w:rsidRPr="00F65F6D">
              <w:rPr>
                <w:rFonts w:ascii="Arial Narrow" w:hAnsi="Arial Narrow" w:cs="Arial"/>
              </w:rPr>
              <w:t>. 111 krio. Przesłanki zastosowania, pojęcie nadużywania władzy rodzicielki, rażących zaniedbań obowiązków wobec dziecka. Skutki pozbawienia władzy rodzicielskiej .</w:t>
            </w:r>
          </w:p>
          <w:p w14:paraId="49DBA1A7" w14:textId="77777777" w:rsidR="00EB67A1" w:rsidRPr="00F65F6D" w:rsidRDefault="00EB67A1" w:rsidP="00EB67A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55006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Wykład multimedialny, burza mózgów, panel dyskusyjny, cuse study</w:t>
            </w:r>
          </w:p>
        </w:tc>
      </w:tr>
      <w:tr w:rsidR="00C46AD1" w:rsidRPr="00F65F6D" w14:paraId="1F95AE4A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DF7DA0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11.00-11.15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E33AA5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Serwis kawowy</w:t>
            </w:r>
          </w:p>
          <w:p w14:paraId="784D8569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03F332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:rsidRPr="00F65F6D" w14:paraId="543F4D5C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20A7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11.15-14.15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835B" w14:textId="21B7675D" w:rsidR="00EB67A1" w:rsidRPr="00F65F6D" w:rsidRDefault="00C21EE2" w:rsidP="00EB67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>P</w:t>
            </w:r>
            <w:r w:rsidR="00EB67A1" w:rsidRPr="00F65F6D">
              <w:rPr>
                <w:rFonts w:ascii="Arial Narrow" w:hAnsi="Arial Narrow" w:cs="Arial"/>
                <w:bCs/>
              </w:rPr>
              <w:t xml:space="preserve">ojęcie i zakres kontaktów z dzieckiem – art. 113 krio. Sposób kształtowania kontaktów z dzieckiem w orzeczeni sądowym. Możliwości </w:t>
            </w:r>
            <w:r w:rsidR="00EB67A1" w:rsidRPr="00F65F6D">
              <w:rPr>
                <w:rFonts w:ascii="Arial Narrow" w:hAnsi="Arial Narrow" w:cs="Arial"/>
                <w:bCs/>
              </w:rPr>
              <w:lastRenderedPageBreak/>
              <w:t>ograniczenia kontaktów z dzieckiem przez sąd – art. 113</w:t>
            </w:r>
            <w:r w:rsidR="00EB67A1" w:rsidRPr="00F65F6D">
              <w:rPr>
                <w:rFonts w:ascii="Cambria Math" w:hAnsi="Cambria Math" w:cs="Cambria Math"/>
                <w:bCs/>
              </w:rPr>
              <w:t>₂</w:t>
            </w:r>
            <w:r w:rsidR="00EB67A1" w:rsidRPr="00F65F6D">
              <w:rPr>
                <w:rFonts w:ascii="Arial Narrow" w:hAnsi="Arial Narrow" w:cs="Arial"/>
                <w:bCs/>
              </w:rPr>
              <w:t xml:space="preserve"> i następne krio.</w:t>
            </w:r>
          </w:p>
          <w:p w14:paraId="12F507FD" w14:textId="77777777" w:rsidR="00EB67A1" w:rsidRPr="00F65F6D" w:rsidRDefault="00EB67A1" w:rsidP="00EB67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 xml:space="preserve"> Omówienie przepisów kodeksu postępowania cywilnego dotyczących postępowania w sprawach z zakresu stosunków pomiędzy rodzicami a dziećmi – art. 569  i następne kpc. Właściwość sądu, możliwość wszczęcia postępowania opiekuńczego z urzędu. Wymogi w zakresie przeprowadzenia rozprawy i dopuszczenia określonych dowodów. Obowiązki zawiadamiania sądu o zagrożeniach dobra dziecka wymagających przeprowadzenia postępowania z urzędu – art. 572 kpc. Możliwości wysłuchania dziecka. Możliwość zmiany postanowienia sądowego z urzędu. </w:t>
            </w:r>
          </w:p>
          <w:p w14:paraId="5D4024CA" w14:textId="77777777" w:rsidR="00EB67A1" w:rsidRPr="00F65F6D" w:rsidRDefault="00EB67A1" w:rsidP="00EB67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Kontrola sytuacji dziecka po jego umieszczeniu w pieczy zastępczej.</w:t>
            </w:r>
          </w:p>
          <w:p w14:paraId="00D035D9" w14:textId="77777777" w:rsidR="00EB67A1" w:rsidRPr="00F65F6D" w:rsidRDefault="00EB67A1" w:rsidP="00EB67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>Odmienności w przebiegu procedury „niebieskie karty” w przypadku podejrzenia przemocy wobec dziecka – omówienie §5 i 8 rozporządzenia Rady Ministrów z 13.09.2011 r. w sprawie procedury „Niebieskie Karty” oraz wzorów formularzy „Niebieska Karta</w:t>
            </w:r>
          </w:p>
          <w:p w14:paraId="4EAE7EDA" w14:textId="77777777" w:rsidR="00EB67A1" w:rsidRPr="00F65F6D" w:rsidRDefault="00EB67A1" w:rsidP="00EB67A1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  <w:bCs/>
              </w:rPr>
              <w:t xml:space="preserve">Przesłuchanie dziecka dotkniętego przemocą w postępowaniu karnym – art. 185a Kodeksu postępowania karnego. </w:t>
            </w:r>
          </w:p>
          <w:p w14:paraId="174553CE" w14:textId="77777777" w:rsidR="00F65B01" w:rsidRPr="00F65F6D" w:rsidRDefault="00F65B01" w:rsidP="00EB67A1">
            <w:pPr>
              <w:pStyle w:val="Akapitzlist"/>
              <w:spacing w:line="240" w:lineRule="auto"/>
              <w:ind w:left="1080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CC646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:rsidRPr="00F65F6D" w14:paraId="77D7FBC7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87ABC6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14.15-15.00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D58D3E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65F6D">
              <w:rPr>
                <w:rFonts w:ascii="Arial Narrow" w:hAnsi="Arial Narrow" w:cs="Arial"/>
                <w:b/>
              </w:rPr>
              <w:t>Obiad</w:t>
            </w:r>
          </w:p>
          <w:p w14:paraId="219853D9" w14:textId="77777777" w:rsidR="00C46AD1" w:rsidRPr="00F65F6D" w:rsidRDefault="00C46AD1" w:rsidP="00C46AD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57AE1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46AD1" w:rsidRPr="00F65F6D" w14:paraId="10A1AD52" w14:textId="77777777" w:rsidTr="00C46A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ECD1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65F6D">
              <w:rPr>
                <w:rFonts w:ascii="Arial Narrow" w:hAnsi="Arial Narrow" w:cs="Arial"/>
                <w:sz w:val="20"/>
                <w:szCs w:val="20"/>
              </w:rPr>
              <w:t>15.00-18.00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3DA94" w14:textId="77777777" w:rsidR="00EB67A1" w:rsidRPr="00F65F6D" w:rsidRDefault="00EB67A1" w:rsidP="00EB67A1">
            <w:pPr>
              <w:pStyle w:val="Akapitzlist"/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  <w:p w14:paraId="600532A2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Omówienie podstaw prawnych odebrania dziecka przez uprawnione organy, w tym w razie bezpośredniego zagrożenia życia lub zdrowia. Prawne podstawy oraz przesłanki podjęcia czynności przez kuratora sądowego oraz funkcjonariusza Policji.</w:t>
            </w:r>
          </w:p>
          <w:p w14:paraId="42746D02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Przesłanki wdrożenia procedury odebrania dziecka przez pracownika socjalnego. Pojęcie „bezpośredniości” zagrożenia życia lub zdrowia. Kryteria zasadności podejmowania działań. Omówienie przykładowych sytuacji, w których celowe było wdrożenie procedury.</w:t>
            </w:r>
          </w:p>
          <w:p w14:paraId="0786BEBF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Podmioty biorące udział w realizacji procedury interwencyjnego odebrania dziecka. Obowiązek konsultacji służb przy podejmowaniu decyzji i współdziałania podczas prowadzenia działań. </w:t>
            </w:r>
          </w:p>
          <w:p w14:paraId="575050C5" w14:textId="6A1EACB6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 Zasady postępowania podczas realizacji procedury. Obowiązki przedstawicieli służb socjalnych, Policji oraz służb medycznych. Obowiązek zawiadamiania sądu                            o podjętych</w:t>
            </w:r>
            <w:r w:rsidR="005749CA">
              <w:rPr>
                <w:rFonts w:ascii="Arial Narrow" w:hAnsi="Arial Narrow" w:cs="Arial"/>
              </w:rPr>
              <w:t xml:space="preserve"> </w:t>
            </w:r>
            <w:r w:rsidRPr="00F65F6D">
              <w:rPr>
                <w:rFonts w:ascii="Arial Narrow" w:hAnsi="Arial Narrow" w:cs="Arial"/>
              </w:rPr>
              <w:t xml:space="preserve">działaniach.  Obowiązki sądu w zakresie wszczęcia postępowania opiekuńczego i niezwłocznego wysłuchania pracownika socjalnego – </w:t>
            </w:r>
            <w:r w:rsidRPr="00F65F6D">
              <w:rPr>
                <w:rFonts w:ascii="Arial Narrow" w:hAnsi="Arial Narrow" w:cs="Arial"/>
              </w:rPr>
              <w:lastRenderedPageBreak/>
              <w:t>art. 579</w:t>
            </w:r>
            <w:r w:rsidRPr="00F65F6D">
              <w:rPr>
                <w:rFonts w:ascii="Cambria Math" w:hAnsi="Cambria Math" w:cs="Cambria Math"/>
              </w:rPr>
              <w:t>₁</w:t>
            </w:r>
            <w:r w:rsidRPr="00F65F6D">
              <w:rPr>
                <w:rFonts w:ascii="Arial Narrow" w:hAnsi="Arial Narrow" w:cs="Arial"/>
              </w:rPr>
              <w:t>krio.</w:t>
            </w:r>
          </w:p>
          <w:p w14:paraId="3F3775ED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Tryb i sposoby zaskarżania decyzji o przymusowym odebraniu dziecka oraz osoby do tego uprawnione. Sposoby doręczania pouczeń o prawie do złożenia zażalenia na przymusowe odebranie dziecka. Postępowanie w razie stwierdzenia przez sąd niezasadności odebrania dziecka. </w:t>
            </w:r>
          </w:p>
          <w:p w14:paraId="4DB3CF34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 xml:space="preserve">Sposoby dokumentowania podjętych działań, w tym realizowanych w ramach procedury „Niebieskiej Karty”. Zawiadamianie organów ścigania o powziętym w trakcie czynności podejrzeniu popełnienia przestępstwa na szkodę dziecka. </w:t>
            </w:r>
          </w:p>
          <w:p w14:paraId="0620CA06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Zasady i metody przewozu dziecka do osoby spokrewnionej, rodziny zastępczej bądź placówki opiekuńczo – wychowawczej w kontekście art</w:t>
            </w:r>
            <w:r w:rsidRPr="00F65F6D">
              <w:rPr>
                <w:rFonts w:ascii="Arial Narrow" w:eastAsia="Times New Roman" w:hAnsi="Arial Narrow" w:cs="Arial"/>
                <w:lang w:eastAsia="pl-PL"/>
              </w:rPr>
              <w:t>. 39 ust. 3 – 4 ustawy z dnia 20 czerwca 1997 r. „Prawo o ruchu drogowym”.</w:t>
            </w:r>
          </w:p>
          <w:p w14:paraId="32F2EA46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eastAsia="Times New Roman" w:hAnsi="Arial Narrow" w:cs="Arial"/>
                <w:lang w:eastAsia="pl-PL"/>
              </w:rPr>
              <w:t>Kierunki zmian w procedurze odebrania dziecka w projektach ustaw odnoszących się do przeciwdziałania przemocy w rodzinie.</w:t>
            </w:r>
          </w:p>
          <w:p w14:paraId="2C124BB5" w14:textId="77777777" w:rsidR="00EB67A1" w:rsidRPr="00F65F6D" w:rsidRDefault="00EB67A1" w:rsidP="00EB67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F65F6D">
              <w:rPr>
                <w:rFonts w:ascii="Arial Narrow" w:eastAsia="Times New Roman" w:hAnsi="Arial Narrow" w:cs="Arial"/>
                <w:lang w:eastAsia="pl-PL"/>
              </w:rPr>
              <w:t>Pytania i odpowiedzi</w:t>
            </w:r>
          </w:p>
          <w:p w14:paraId="54EF3525" w14:textId="77777777" w:rsidR="00F65B01" w:rsidRPr="00F65F6D" w:rsidRDefault="00F65B01" w:rsidP="00EB67A1">
            <w:pPr>
              <w:pStyle w:val="Akapitzlist"/>
              <w:spacing w:after="0" w:line="240" w:lineRule="auto"/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6B6D6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lastRenderedPageBreak/>
              <w:t>Warsztat, praca w grupach, praca w gniazdach,</w:t>
            </w:r>
          </w:p>
          <w:p w14:paraId="03312D40" w14:textId="77777777" w:rsidR="00C46AD1" w:rsidRPr="00F65F6D" w:rsidRDefault="00C46AD1" w:rsidP="00C46AD1">
            <w:pPr>
              <w:spacing w:after="0" w:line="240" w:lineRule="auto"/>
              <w:rPr>
                <w:rFonts w:ascii="Arial Narrow" w:hAnsi="Arial Narrow" w:cs="Arial"/>
              </w:rPr>
            </w:pPr>
            <w:r w:rsidRPr="00F65F6D">
              <w:rPr>
                <w:rFonts w:ascii="Arial Narrow" w:hAnsi="Arial Narrow" w:cs="Arial"/>
              </w:rPr>
              <w:t>panel dyskusyjny</w:t>
            </w:r>
          </w:p>
        </w:tc>
      </w:tr>
    </w:tbl>
    <w:p w14:paraId="2582D7B1" w14:textId="77777777" w:rsidR="00DF10CD" w:rsidRPr="00F65F6D" w:rsidRDefault="00DF10CD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79974EC" w14:textId="77777777" w:rsidR="00DF10CD" w:rsidRPr="00F65F6D" w:rsidRDefault="00EB67A1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65F6D">
        <w:rPr>
          <w:rFonts w:ascii="Arial Narrow" w:hAnsi="Arial Narrow"/>
          <w:sz w:val="20"/>
          <w:szCs w:val="20"/>
        </w:rPr>
        <w:t>Opracował: Adam Grochoła</w:t>
      </w:r>
    </w:p>
    <w:p w14:paraId="239EB009" w14:textId="136AC5AD" w:rsidR="002B60E9" w:rsidRPr="00F65F6D" w:rsidRDefault="002B60E9" w:rsidP="00A96ED7">
      <w:pPr>
        <w:spacing w:after="0" w:line="240" w:lineRule="auto"/>
        <w:rPr>
          <w:rFonts w:ascii="Arial Narrow" w:hAnsi="Arial Narrow" w:cs="Arial"/>
          <w:b/>
        </w:rPr>
      </w:pPr>
    </w:p>
    <w:p w14:paraId="1CB8FF49" w14:textId="2DA6C1BA" w:rsidR="002B60E9" w:rsidRPr="00F65F6D" w:rsidRDefault="002B60E9" w:rsidP="002B60E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65F6D">
        <w:rPr>
          <w:rFonts w:ascii="Arial Narrow" w:eastAsia="Times New Roman" w:hAnsi="Arial Narrow" w:cs="Arial"/>
          <w:b/>
          <w:sz w:val="20"/>
          <w:szCs w:val="20"/>
          <w:lang w:eastAsia="pl-PL"/>
        </w:rPr>
        <w:t>Trener Adam Grochoła</w:t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 absolwent Wydziału Prawa i Administracji Uniwersytetu Marii Curie – Skłodowskiej w Lublinie. Prokurator Prokuratury Rejonowej w Słubicach (17 lat stażu pracy). Od 2006 r. członek Zespołu Interdyscyplinarnego </w:t>
      </w:r>
      <w:r w:rsidR="000C259A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ds. Przeciwdziałania Przemocy w Rodzinie przy Urzędzie Miasta i Gminy w Słubicach. Od 2012 roku prowadzi szkolenia</w:t>
      </w:r>
      <w:r w:rsidR="00E97EA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E97EAF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z zakresu przeciwdziałania przemocy w rodzinie w jednostkach pomocy społecznej na terenie całej Polski.</w:t>
      </w:r>
    </w:p>
    <w:p w14:paraId="59FF7978" w14:textId="52D657F4" w:rsidR="002B60E9" w:rsidRPr="00E97EAF" w:rsidRDefault="002B60E9" w:rsidP="002B60E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</w:pP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Od 2014 r. współpracuje m.in. z Fundacją Rozwoju Demokracji Lokalnej oraz Stowarzyszeniem </w:t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>na Rzecz Przeciwdziałania Przemocy w Rodzinie "</w:t>
      </w:r>
      <w:r w:rsidRPr="00F65F6D">
        <w:rPr>
          <w:rFonts w:ascii="Arial Narrow" w:eastAsia="Times New Roman" w:hAnsi="Arial Narrow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Niebieska Linia</w:t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 xml:space="preserve">". W ramach współpracy ze Stowarzyszeniem m.in. w 2015 r. był jednym </w:t>
      </w:r>
      <w:r w:rsidR="00FD462E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>z</w:t>
      </w:r>
      <w:r w:rsidR="00E97EAF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>wykładowców części prawnej w dużym projekcie „</w:t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Kompleksowe szkolenie dla kadry kierowniczej pomocy społecznej dotyczące przemocy i funkcjonowania Zespołów Interdyscyplinarnych” realizowanym przez Stowarzyszenia NL </w:t>
      </w:r>
      <w:r w:rsidR="00FD462E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w konsorcjum z Instytutem Rozwoju Służb Społecznych na zlecenie Ministerstwa Pracy i Polityki Społecznej. W latach 2015-2016 był także wykładowcą w ramach cyklu szkoleń z zakresu przeciwdziałania przemocy w rodzinie adresowanych do członków zespołów interdyscyplinarnych  realizowanych w ramach ogólnopolskiego projektu  Ministerstwa Pracy i Polityki Społecznej.</w:t>
      </w:r>
    </w:p>
    <w:p w14:paraId="35C86056" w14:textId="4B49E549" w:rsidR="002B60E9" w:rsidRPr="00F65F6D" w:rsidRDefault="002B60E9" w:rsidP="002B60E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W latach 2015 r. i 2016 r. był jednym z konsultantów - prawników w projekcie</w:t>
      </w:r>
      <w:r w:rsidR="008D5ED2"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„Doradztwo dla przedstawicieli służb pracujących w zespołach interdyscyplinarnych i grupach roboczych na terenie Warszawy” realizowanym na zlecenie Biura pomocy i Projektów Społecznych m.st Warszawy oraz realizatorem szeregu prawnych seminariów prowadzonych przez Stowarzyszenie na terenie Polski lub</w:t>
      </w:r>
      <w:r w:rsidR="00230D2B"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dla</w:t>
      </w:r>
      <w:r w:rsidR="00230D2B"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>przedstawicieli służb zobowiązanych</w:t>
      </w:r>
      <w:r w:rsidR="00230D2B"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do realizacji procedury Niebieskie Karty” </w:t>
      </w:r>
      <w:r w:rsidR="00E97EAF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 terenu całej Polski. W projekcie tym uczestniczy ponownie od 2019 r.  </w:t>
      </w:r>
    </w:p>
    <w:p w14:paraId="6324A638" w14:textId="6CEE0D30" w:rsidR="002B60E9" w:rsidRPr="00F65F6D" w:rsidRDefault="002B60E9" w:rsidP="002B60E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65F6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Od 2017 r. jest wykładowcą Krajowej Szkoły Sądownictwa i Prokuratury. Od 2020 r. prowadzi zajęcia w ramach Studium Przeciwdziałania Przemocy w Rodzinie organizowanego przez Stowarzyszenia  </w:t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 xml:space="preserve">na Rzecz Przeciwdziałania Przemocy </w:t>
      </w:r>
      <w:r w:rsidR="00E97EAF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>w Rodzinie "</w:t>
      </w:r>
      <w:r w:rsidRPr="00F65F6D">
        <w:rPr>
          <w:rFonts w:ascii="Arial Narrow" w:eastAsia="Times New Roman" w:hAnsi="Arial Narrow" w:cs="Arial"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>Niebieska Linia</w:t>
      </w:r>
      <w:r w:rsidRPr="00F65F6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pl-PL"/>
        </w:rPr>
        <w:t>". Autor publikacji pt. „Przemoc wobec osób starszych i z niepełnosprawnościami – zagadnienia prawne” opublikowanej w dwumiesięczniku „Niebieska Linia”.</w:t>
      </w:r>
    </w:p>
    <w:p w14:paraId="1009B087" w14:textId="77777777" w:rsidR="002B60E9" w:rsidRPr="00F65F6D" w:rsidRDefault="002B60E9" w:rsidP="002B60E9">
      <w:pPr>
        <w:spacing w:after="160" w:line="259" w:lineRule="auto"/>
        <w:jc w:val="both"/>
        <w:rPr>
          <w:rFonts w:ascii="Arial Narrow" w:hAnsi="Arial Narrow" w:cs="Arial"/>
        </w:rPr>
      </w:pPr>
    </w:p>
    <w:p w14:paraId="2D7C5346" w14:textId="77777777" w:rsidR="002B60E9" w:rsidRPr="00F65F6D" w:rsidRDefault="002B60E9" w:rsidP="00CC2F73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2B60E9" w:rsidRPr="00F65F6D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80C3" w14:textId="77777777" w:rsidR="00CB61FA" w:rsidRDefault="00CB61FA" w:rsidP="00D6746B">
      <w:pPr>
        <w:spacing w:after="0" w:line="240" w:lineRule="auto"/>
      </w:pPr>
      <w:r>
        <w:separator/>
      </w:r>
    </w:p>
  </w:endnote>
  <w:endnote w:type="continuationSeparator" w:id="0">
    <w:p w14:paraId="7FE2BD0C" w14:textId="77777777" w:rsidR="00CB61FA" w:rsidRDefault="00CB61F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1CE3" w14:textId="77777777" w:rsidR="00436DC5" w:rsidRPr="00621554" w:rsidRDefault="00436DC5" w:rsidP="00AF7D5E">
    <w:pPr>
      <w:pStyle w:val="Stopka"/>
      <w:jc w:val="center"/>
      <w:rPr>
        <w:rFonts w:ascii="Sansation" w:hAnsi="Sansation" w:cs="Sansation"/>
        <w:b/>
        <w:bCs/>
        <w:color w:val="244061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z w:val="16"/>
        <w:szCs w:val="16"/>
      </w:rPr>
      <w:t>REGIONALNY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OŚRODEK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POLITYKI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SPOŁECZNEJ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W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ZIELONEJ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GÓRZE</w:t>
    </w:r>
  </w:p>
  <w:p w14:paraId="5F7E1C5C" w14:textId="77777777" w:rsidR="00B26487" w:rsidRPr="00621554" w:rsidRDefault="00436DC5" w:rsidP="00B26487">
    <w:pPr>
      <w:spacing w:after="107"/>
      <w:jc w:val="center"/>
      <w:rPr>
        <w:rFonts w:ascii="Sansation" w:hAnsi="Sansation" w:cs="Sansation"/>
        <w:b/>
        <w:bCs/>
        <w:color w:val="244061"/>
        <w:spacing w:val="-4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 xml:space="preserve">Al. Niepodległości 36, 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  <w:lang w:eastAsia="pl-PL"/>
      </w:rPr>
      <w:t xml:space="preserve">65-042 Zielona Góra, </w:t>
    </w:r>
    <w:r>
      <w:rPr>
        <w:rFonts w:ascii="Sansation" w:hAnsi="Sansation" w:cs="Sansation"/>
        <w:b/>
        <w:bCs/>
        <w:color w:val="244061"/>
        <w:spacing w:val="-4"/>
        <w:sz w:val="16"/>
        <w:szCs w:val="16"/>
      </w:rPr>
      <w:t>tel. +48 68/3231880, fax: +48 68/3523954</w:t>
    </w:r>
    <w:r w:rsidR="00B26487">
      <w:rPr>
        <w:rFonts w:ascii="Sansation" w:hAnsi="Sansation" w:cs="Sansation"/>
        <w:b/>
        <w:bCs/>
        <w:color w:val="244061"/>
        <w:spacing w:val="-4"/>
        <w:sz w:val="16"/>
        <w:szCs w:val="16"/>
      </w:rPr>
      <w:t>, NIP: 973-05-90-332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6426" w14:textId="77777777" w:rsidR="00CB61FA" w:rsidRDefault="00CB61FA" w:rsidP="00D6746B">
      <w:pPr>
        <w:spacing w:after="0" w:line="240" w:lineRule="auto"/>
      </w:pPr>
      <w:r>
        <w:separator/>
      </w:r>
    </w:p>
  </w:footnote>
  <w:footnote w:type="continuationSeparator" w:id="0">
    <w:p w14:paraId="759D0920" w14:textId="77777777" w:rsidR="00CB61FA" w:rsidRDefault="00CB61FA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A850" w14:textId="77777777" w:rsidR="00436DC5" w:rsidRDefault="00177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D1DFFD" wp14:editId="4A8ADA4E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E5C3AB" wp14:editId="48904F16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D6340A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63FB4"/>
    <w:multiLevelType w:val="hybridMultilevel"/>
    <w:tmpl w:val="FBBE2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609FC"/>
    <w:multiLevelType w:val="hybridMultilevel"/>
    <w:tmpl w:val="99086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93258"/>
    <w:multiLevelType w:val="hybridMultilevel"/>
    <w:tmpl w:val="423C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D48DB"/>
    <w:multiLevelType w:val="hybridMultilevel"/>
    <w:tmpl w:val="4116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2F5F"/>
    <w:multiLevelType w:val="hybridMultilevel"/>
    <w:tmpl w:val="00204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44C11"/>
    <w:multiLevelType w:val="hybridMultilevel"/>
    <w:tmpl w:val="B9E40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A6AFE"/>
    <w:multiLevelType w:val="hybridMultilevel"/>
    <w:tmpl w:val="C70E0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3798C"/>
    <w:multiLevelType w:val="hybridMultilevel"/>
    <w:tmpl w:val="651690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3D41"/>
    <w:multiLevelType w:val="hybridMultilevel"/>
    <w:tmpl w:val="3B06CE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8B6"/>
    <w:multiLevelType w:val="hybridMultilevel"/>
    <w:tmpl w:val="7CC87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2211F"/>
    <w:multiLevelType w:val="hybridMultilevel"/>
    <w:tmpl w:val="A2367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5462E"/>
    <w:multiLevelType w:val="hybridMultilevel"/>
    <w:tmpl w:val="386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6F73"/>
    <w:multiLevelType w:val="hybridMultilevel"/>
    <w:tmpl w:val="FF3A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A7295"/>
    <w:multiLevelType w:val="hybridMultilevel"/>
    <w:tmpl w:val="C388C9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A55"/>
    <w:multiLevelType w:val="hybridMultilevel"/>
    <w:tmpl w:val="0C84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AB7F9A"/>
    <w:multiLevelType w:val="hybridMultilevel"/>
    <w:tmpl w:val="386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371E2"/>
    <w:multiLevelType w:val="hybridMultilevel"/>
    <w:tmpl w:val="D0CCA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60EB6"/>
    <w:multiLevelType w:val="hybridMultilevel"/>
    <w:tmpl w:val="72243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40EA2"/>
    <w:multiLevelType w:val="hybridMultilevel"/>
    <w:tmpl w:val="63CAB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3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181"/>
    <w:rsid w:val="00012552"/>
    <w:rsid w:val="000179F9"/>
    <w:rsid w:val="000266E7"/>
    <w:rsid w:val="000352C0"/>
    <w:rsid w:val="00037E01"/>
    <w:rsid w:val="00051D5C"/>
    <w:rsid w:val="000810CC"/>
    <w:rsid w:val="00087015"/>
    <w:rsid w:val="00087F5A"/>
    <w:rsid w:val="000A1835"/>
    <w:rsid w:val="000C259A"/>
    <w:rsid w:val="000C7458"/>
    <w:rsid w:val="000E2787"/>
    <w:rsid w:val="00103A21"/>
    <w:rsid w:val="0012450F"/>
    <w:rsid w:val="00157788"/>
    <w:rsid w:val="0016209C"/>
    <w:rsid w:val="00177CDE"/>
    <w:rsid w:val="00181A5A"/>
    <w:rsid w:val="001A7AAD"/>
    <w:rsid w:val="001C1A9A"/>
    <w:rsid w:val="001E4F4A"/>
    <w:rsid w:val="001E5D60"/>
    <w:rsid w:val="0020190F"/>
    <w:rsid w:val="00202B77"/>
    <w:rsid w:val="00224F55"/>
    <w:rsid w:val="00230D2B"/>
    <w:rsid w:val="002437A2"/>
    <w:rsid w:val="00297FA0"/>
    <w:rsid w:val="002B60E9"/>
    <w:rsid w:val="002C5DDB"/>
    <w:rsid w:val="0032265F"/>
    <w:rsid w:val="0035221F"/>
    <w:rsid w:val="0037387F"/>
    <w:rsid w:val="00387C6D"/>
    <w:rsid w:val="00393E55"/>
    <w:rsid w:val="003967AC"/>
    <w:rsid w:val="003A1F4E"/>
    <w:rsid w:val="003B4FB8"/>
    <w:rsid w:val="003D642F"/>
    <w:rsid w:val="003E5D7B"/>
    <w:rsid w:val="0040052C"/>
    <w:rsid w:val="0041714F"/>
    <w:rsid w:val="004339BB"/>
    <w:rsid w:val="00433FAD"/>
    <w:rsid w:val="00436DC5"/>
    <w:rsid w:val="0045119E"/>
    <w:rsid w:val="0046514C"/>
    <w:rsid w:val="00490A30"/>
    <w:rsid w:val="00492E00"/>
    <w:rsid w:val="00493938"/>
    <w:rsid w:val="004C289D"/>
    <w:rsid w:val="005058B7"/>
    <w:rsid w:val="005468CC"/>
    <w:rsid w:val="00556AC8"/>
    <w:rsid w:val="005574AB"/>
    <w:rsid w:val="005749CA"/>
    <w:rsid w:val="00580D87"/>
    <w:rsid w:val="00591FB6"/>
    <w:rsid w:val="005A19AB"/>
    <w:rsid w:val="005A1B4D"/>
    <w:rsid w:val="005C3B20"/>
    <w:rsid w:val="005F6E30"/>
    <w:rsid w:val="00621554"/>
    <w:rsid w:val="0062367A"/>
    <w:rsid w:val="006332C9"/>
    <w:rsid w:val="006349F8"/>
    <w:rsid w:val="006437DF"/>
    <w:rsid w:val="006450B0"/>
    <w:rsid w:val="006848EC"/>
    <w:rsid w:val="006A465E"/>
    <w:rsid w:val="006B1C4D"/>
    <w:rsid w:val="006D45D4"/>
    <w:rsid w:val="006E2C12"/>
    <w:rsid w:val="006F6AF0"/>
    <w:rsid w:val="00735B76"/>
    <w:rsid w:val="007413ED"/>
    <w:rsid w:val="0077229D"/>
    <w:rsid w:val="00785EB9"/>
    <w:rsid w:val="00797D84"/>
    <w:rsid w:val="007A1493"/>
    <w:rsid w:val="00826AC6"/>
    <w:rsid w:val="00830953"/>
    <w:rsid w:val="00837F42"/>
    <w:rsid w:val="008633D5"/>
    <w:rsid w:val="00887F96"/>
    <w:rsid w:val="008B2E1E"/>
    <w:rsid w:val="008D5ED2"/>
    <w:rsid w:val="008E7AD9"/>
    <w:rsid w:val="00927331"/>
    <w:rsid w:val="00930D94"/>
    <w:rsid w:val="0094330F"/>
    <w:rsid w:val="00962375"/>
    <w:rsid w:val="0096534C"/>
    <w:rsid w:val="0098139B"/>
    <w:rsid w:val="00987B6E"/>
    <w:rsid w:val="00991B1D"/>
    <w:rsid w:val="009A6EED"/>
    <w:rsid w:val="009C2147"/>
    <w:rsid w:val="009C4A78"/>
    <w:rsid w:val="00A22F49"/>
    <w:rsid w:val="00A23BF6"/>
    <w:rsid w:val="00A26F1B"/>
    <w:rsid w:val="00A32128"/>
    <w:rsid w:val="00A96ED7"/>
    <w:rsid w:val="00AC55E0"/>
    <w:rsid w:val="00AD00BB"/>
    <w:rsid w:val="00AF7D5E"/>
    <w:rsid w:val="00B00EF6"/>
    <w:rsid w:val="00B04598"/>
    <w:rsid w:val="00B15F40"/>
    <w:rsid w:val="00B26487"/>
    <w:rsid w:val="00B465CE"/>
    <w:rsid w:val="00B737F8"/>
    <w:rsid w:val="00B77DC2"/>
    <w:rsid w:val="00BA5D8C"/>
    <w:rsid w:val="00C0027E"/>
    <w:rsid w:val="00C16F6D"/>
    <w:rsid w:val="00C2032E"/>
    <w:rsid w:val="00C21EE2"/>
    <w:rsid w:val="00C22317"/>
    <w:rsid w:val="00C46AD1"/>
    <w:rsid w:val="00C524E7"/>
    <w:rsid w:val="00C87181"/>
    <w:rsid w:val="00CB0A4C"/>
    <w:rsid w:val="00CB27D8"/>
    <w:rsid w:val="00CB61FA"/>
    <w:rsid w:val="00CC2F73"/>
    <w:rsid w:val="00CD3276"/>
    <w:rsid w:val="00CE0C49"/>
    <w:rsid w:val="00D03139"/>
    <w:rsid w:val="00D219F0"/>
    <w:rsid w:val="00D50C72"/>
    <w:rsid w:val="00D6746B"/>
    <w:rsid w:val="00D72B7F"/>
    <w:rsid w:val="00D84CE3"/>
    <w:rsid w:val="00DA6C44"/>
    <w:rsid w:val="00DA7406"/>
    <w:rsid w:val="00DC4F2B"/>
    <w:rsid w:val="00DC66DF"/>
    <w:rsid w:val="00DF10CD"/>
    <w:rsid w:val="00E06051"/>
    <w:rsid w:val="00E2643B"/>
    <w:rsid w:val="00E54738"/>
    <w:rsid w:val="00E70755"/>
    <w:rsid w:val="00E81D1A"/>
    <w:rsid w:val="00E91B61"/>
    <w:rsid w:val="00E97EAF"/>
    <w:rsid w:val="00EA3B6F"/>
    <w:rsid w:val="00EA43F7"/>
    <w:rsid w:val="00EB67A1"/>
    <w:rsid w:val="00EB7591"/>
    <w:rsid w:val="00EC5A77"/>
    <w:rsid w:val="00EE1547"/>
    <w:rsid w:val="00EE3FE3"/>
    <w:rsid w:val="00F310E1"/>
    <w:rsid w:val="00F44D2E"/>
    <w:rsid w:val="00F65B01"/>
    <w:rsid w:val="00F65F6D"/>
    <w:rsid w:val="00F72A01"/>
    <w:rsid w:val="00F747D1"/>
    <w:rsid w:val="00F915B3"/>
    <w:rsid w:val="00F921A1"/>
    <w:rsid w:val="00F97060"/>
    <w:rsid w:val="00FC3EEE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CA8C3C"/>
  <w15:docId w15:val="{FE2DA083-2326-4D50-AB7C-6CACDB9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7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190F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 w:cs="Times New Roman"/>
      <w:bCs/>
      <w:iCs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0190F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0190F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i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0190F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paragraph" w:styleId="Tekstpodstawowy2">
    <w:name w:val="Body Text 2"/>
    <w:basedOn w:val="Normalny"/>
    <w:link w:val="Tekstpodstawowy2Znak"/>
    <w:uiPriority w:val="99"/>
    <w:unhideWhenUsed/>
    <w:rsid w:val="00CC2F73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CC2F73"/>
    <w:rPr>
      <w:rFonts w:eastAsia="Times New Roman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E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2265F"/>
    <w:rPr>
      <w:color w:val="0000FF"/>
      <w:u w:val="single"/>
    </w:rPr>
  </w:style>
  <w:style w:type="paragraph" w:customStyle="1" w:styleId="Default">
    <w:name w:val="Default"/>
    <w:rsid w:val="0032265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20190F"/>
    <w:rPr>
      <w:rFonts w:ascii="Times New Roman" w:hAnsi="Times New Roman"/>
      <w:bCs/>
      <w:iCs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0190F"/>
    <w:rPr>
      <w:rFonts w:ascii="Arial" w:hAnsi="Arial" w:cs="Arial"/>
      <w:b/>
      <w:bCs/>
      <w:i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0190F"/>
    <w:rPr>
      <w:rFonts w:ascii="Arial" w:hAnsi="Arial" w:cs="Arial"/>
      <w:b/>
      <w:bCs/>
      <w:i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190F"/>
    <w:rPr>
      <w:rFonts w:ascii="Times New Roman" w:hAnsi="Times New Roman"/>
      <w:b/>
      <w:bCs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0190F"/>
    <w:pPr>
      <w:suppressAutoHyphens/>
      <w:spacing w:after="120" w:line="480" w:lineRule="auto"/>
    </w:pPr>
    <w:rPr>
      <w:rFonts w:ascii="Times New Roman" w:hAnsi="Times New Roman" w:cs="Times New Roman"/>
      <w:bCs/>
      <w:iCs/>
      <w:sz w:val="32"/>
      <w:szCs w:val="24"/>
      <w:lang w:eastAsia="ar-SA"/>
    </w:rPr>
  </w:style>
  <w:style w:type="paragraph" w:customStyle="1" w:styleId="Akapitzlist1">
    <w:name w:val="Akapit z listą1"/>
    <w:basedOn w:val="Normalny"/>
    <w:rsid w:val="0020190F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1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39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341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644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83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DC69-ED94-4CB1-9AA4-DB00776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s.sobanski</cp:lastModifiedBy>
  <cp:revision>19</cp:revision>
  <cp:lastPrinted>2012-11-14T12:49:00Z</cp:lastPrinted>
  <dcterms:created xsi:type="dcterms:W3CDTF">2021-07-09T08:35:00Z</dcterms:created>
  <dcterms:modified xsi:type="dcterms:W3CDTF">2021-07-27T10:56:00Z</dcterms:modified>
</cp:coreProperties>
</file>